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7F" w:rsidRPr="00DC637F" w:rsidRDefault="00DC637F" w:rsidP="00DC637F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Отчет руководителя «Детской городской поликлиники № 133»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ДЕПАРТАМЕНТ ЗДРАВООХРАНЕНИЯ ГОРОДА МОСКВЫ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ГОСУДАРСТВЕННОЕ БЮДЖЕТНОЕ УЧРЕЖДЕНИЕ ЗДРАВООХРАНЕНИЯ ГОРОДА МОСКВЫ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«ДЕТСКАЯ ГОРОДСКАЯ ПОЛИКЛИНИКА № 133»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125445, г. Москва, ул. Смольная, 55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тел./факс:8-499-457-32-71                                                                                           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4" w:history="1">
        <w:r w:rsidRPr="00DC637F">
          <w:rPr>
            <w:rFonts w:ascii="Arial" w:eastAsia="Times New Roman" w:hAnsi="Arial" w:cs="Arial"/>
            <w:b/>
            <w:bCs/>
            <w:color w:val="0072BC"/>
            <w:sz w:val="16"/>
            <w:u w:val="single"/>
            <w:lang w:eastAsia="ru-RU"/>
          </w:rPr>
          <w:t>www.dgp133.ru</w:t>
        </w:r>
      </w:hyperlink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; </w:t>
      </w:r>
      <w:proofErr w:type="spellStart"/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E-mail</w:t>
      </w:r>
      <w:proofErr w:type="spellEnd"/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: </w:t>
      </w:r>
      <w:hyperlink r:id="rId5" w:history="1">
        <w:r w:rsidRPr="00DC637F">
          <w:rPr>
            <w:rFonts w:ascii="Arial" w:eastAsia="Times New Roman" w:hAnsi="Arial" w:cs="Arial"/>
            <w:b/>
            <w:bCs/>
            <w:color w:val="0072BC"/>
            <w:sz w:val="16"/>
            <w:u w:val="single"/>
            <w:lang w:eastAsia="ru-RU"/>
          </w:rPr>
          <w:t>dgp133@zdrav.mos.ru</w:t>
        </w:r>
      </w:hyperlink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 № _____________</w:t>
      </w: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           </w:t>
      </w: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Главе муниципального округа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proofErr w:type="gram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</w:t>
      </w:r>
      <w:proofErr w:type="gram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№ _____________ от _____________             </w:t>
      </w:r>
      <w:proofErr w:type="spell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Головинский</w:t>
      </w:r>
      <w:proofErr w:type="spell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САО г. Москвы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                                                                           </w:t>
      </w: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Архипцовой Н.В.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                                                                  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                                                                                   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                                                                                     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       ГБУЗ «ДГП №133 ДЗМ» оказывает первичную медико-санитарную помощь прикрепленному детскому населению района </w:t>
      </w:r>
      <w:proofErr w:type="spell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Головинский</w:t>
      </w:r>
      <w:proofErr w:type="spell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количестве 12950 человек, в том числе организованные дети — 10441 человек, неорганизованные — 2509 человек. В соответствии со штатным расписанием на район </w:t>
      </w:r>
      <w:proofErr w:type="spell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Головинский</w:t>
      </w:r>
      <w:proofErr w:type="spell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приходится 15 враче</w:t>
      </w:r>
      <w:proofErr w:type="gram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й-</w:t>
      </w:r>
      <w:proofErr w:type="gram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педиатров участковых, 15 медсестер участковых. Штатные должности укомплектованы полностью. Мощность поликлиники составляет 320 посещений в смену.</w:t>
      </w:r>
    </w:p>
    <w:p w:rsidR="00DC637F" w:rsidRDefault="00DC637F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    В 2015 году завершено строительство нового здания (пристройки) поликлиники, что позволит в более полном объеме оказывать медицинскую помощь детям, в том числе </w:t>
      </w:r>
      <w:proofErr w:type="spell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района. В 2016 году ввод в строй нового здания позволит увеличить мощность до 470 посещений в смену. В 2015 году </w:t>
      </w:r>
      <w:proofErr w:type="gram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 сравнению с предыдущими годами предварительная электронная запись на прием к врачам в системе</w:t>
      </w:r>
      <w:proofErr w:type="gram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ЕМИАС составила более 95%, что позволило уменьшить поток населения, снизить внеплановую обращаемость, вследствие чего повысилась доступность к врачам-специалистам и диагностическим исследованиям.  Особое внимание уделяется восстановительному лечению детей с различной патологией, разработаны программы реабилитации для детей с хроническими заболеваниями. В поликлинике работают кабинеты ЛФК, массажа, физиотерапии, рефлексотерапии, кабинет охраны зрения. В 1 квартале 2016 года планируется открытие соляной пещеры, что позволит достичь качественно нового уровня лечения детей с бронхиальной астмой. В 2015 году в поликлинике открыт кабинет «здоровое детство» и служба дежурного врача. Работа кабинета «здоровое детство» осуществляется с 8:00 до 20:00. В функции врача кабинета входит осмотр здоровых детей, выдача справок, направлений, выписок.  Работа кабинета «здоровое детство» позволило значительно снизить нагрузку на участковых врачей — педиатров и ликвидировать очереди в кабинеты. Дежурный врач осуществляет прием остро заболевших детей по «живой» очереди без предварительной записи, что удобно для населения. В поликлинике работает дневной стационар, осуществляющий лечение наиболее сложных пациентов, состояние которых требует назначение </w:t>
      </w:r>
      <w:proofErr w:type="spell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инфузионной</w:t>
      </w:r>
      <w:proofErr w:type="spell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терапии, экстренных реабилитационных мероприятий. Работа по вакцинации детского населения проводится в соответствии с региональным календарем проф. прививок. Проводится большая работа по разъяснению родителям маленьких пациентов значимости вакцинации против управляемых инфекций. Охват прививками в 2015 году составил более 98%, в том числе среди детей района </w:t>
      </w:r>
      <w:proofErr w:type="spell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Головинский</w:t>
      </w:r>
      <w:proofErr w:type="spell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В сентябре 2015 года проведена прививочная компания по профилактике гриппа в сезон эпидемического подъема. К 1 ноября привиты 98% детей, подлежащие прививкам против гриппа.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br w:type="page"/>
      </w:r>
    </w:p>
    <w:p w:rsid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  <w:sectPr w:rsidR="00DC637F" w:rsidSect="00C45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                                             </w:t>
      </w:r>
      <w:r w:rsidRPr="00DC637F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    1. Деятельность учреждения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1.1 Штаты учреждения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tbl>
      <w:tblPr>
        <w:tblW w:w="12688" w:type="dxa"/>
        <w:tblCellMar>
          <w:left w:w="0" w:type="dxa"/>
          <w:right w:w="0" w:type="dxa"/>
        </w:tblCellMar>
        <w:tblLook w:val="04A0"/>
      </w:tblPr>
      <w:tblGrid>
        <w:gridCol w:w="2256"/>
        <w:gridCol w:w="1972"/>
        <w:gridCol w:w="2115"/>
        <w:gridCol w:w="2115"/>
        <w:gridCol w:w="2115"/>
        <w:gridCol w:w="2115"/>
      </w:tblGrid>
      <w:tr w:rsidR="00DC637F" w:rsidRPr="00DC637F" w:rsidTr="00DC637F">
        <w:tc>
          <w:tcPr>
            <w:tcW w:w="1665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должности</w:t>
            </w:r>
          </w:p>
        </w:tc>
        <w:tc>
          <w:tcPr>
            <w:tcW w:w="3015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за год,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 предшествующие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отчетному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Отчетный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числа занятых должностей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DC637F" w:rsidRPr="00DC637F" w:rsidTr="00DC637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C637F" w:rsidRPr="00DC637F" w:rsidRDefault="00DC637F" w:rsidP="00DC6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 Число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 штатных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должностей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целом по учреждению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занятых должностей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целом по учреждению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нанятых</w:t>
            </w:r>
            <w:proofErr w:type="gramEnd"/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должностей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целом по учреждению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штатных</w:t>
            </w:r>
            <w:proofErr w:type="gramEnd"/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нанятых должностей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целом по учреждению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занятых</w:t>
            </w:r>
            <w:proofErr w:type="gramEnd"/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C637F" w:rsidRPr="00DC637F" w:rsidTr="00DC637F">
        <w:tc>
          <w:tcPr>
            <w:tcW w:w="16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Врачи</w:t>
            </w:r>
          </w:p>
        </w:tc>
        <w:tc>
          <w:tcPr>
            <w:tcW w:w="14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34.5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32,75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27,75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-19,6%</w:t>
            </w:r>
          </w:p>
        </w:tc>
      </w:tr>
      <w:tr w:rsidR="00DC637F" w:rsidRPr="00DC637F" w:rsidTr="00DC637F">
        <w:tc>
          <w:tcPr>
            <w:tcW w:w="16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Средний </w:t>
            </w:r>
            <w:proofErr w:type="spellStart"/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мед</w:t>
            </w:r>
            <w:proofErr w:type="gramStart"/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.п</w:t>
            </w:r>
            <w:proofErr w:type="gramEnd"/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ерсоонал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49,75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-29,5%</w:t>
            </w:r>
          </w:p>
        </w:tc>
      </w:tr>
      <w:tr w:rsidR="00DC637F" w:rsidRPr="00DC637F" w:rsidTr="00DC637F">
        <w:tc>
          <w:tcPr>
            <w:tcW w:w="166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Всего должностей</w:t>
            </w:r>
          </w:p>
        </w:tc>
        <w:tc>
          <w:tcPr>
            <w:tcW w:w="145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113,75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113,75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78,75</w:t>
            </w:r>
          </w:p>
        </w:tc>
        <w:tc>
          <w:tcPr>
            <w:tcW w:w="15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-30,7%</w:t>
            </w:r>
          </w:p>
        </w:tc>
      </w:tr>
    </w:tbl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Комментарий:</w:t>
      </w:r>
      <w:r w:rsidRPr="00DC637F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Внедрение электронной записи, стандартов оказания медицинской помощи, маршрутизация пациентов, введение в штатное расписание таких специалистов как - пульмонолог, врач дневного стационара, врач кабинета «здоровое детство», дежурный врач позволило оптимизировать штатное расписание. При этом доступность записи к врачам – специалистам сохранена. Участковая педиатрическая служба сохранена в полном объеме, укомплектована на 100%. Повышение квалификации по переподготовке первичного звена (62,5% врачей педиатров) позволило оказывать медицинскую помощь широкого спектра, включая первичную специализированную помощь.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1.2 Работа врачей поликлиники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8"/>
        <w:gridCol w:w="3159"/>
        <w:gridCol w:w="3179"/>
        <w:gridCol w:w="3179"/>
      </w:tblGrid>
      <w:tr w:rsidR="00DC637F" w:rsidRPr="00DC637F" w:rsidTr="00DC637F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Отчетный период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 xml:space="preserve">Число посещений врачей, включая </w:t>
            </w:r>
            <w:proofErr w:type="gramStart"/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профилактические</w:t>
            </w:r>
            <w:proofErr w:type="gramEnd"/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, всего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Число посещений врачей по поводу заболеваний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Число посещений врачами на дому</w:t>
            </w:r>
          </w:p>
        </w:tc>
      </w:tr>
      <w:tr w:rsidR="00DC637F" w:rsidRPr="00DC637F" w:rsidTr="00DC637F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год, предшествующий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330778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145199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61105</w:t>
            </w:r>
          </w:p>
        </w:tc>
      </w:tr>
      <w:tr w:rsidR="00DC637F" w:rsidRPr="00DC637F" w:rsidTr="00DC637F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289535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130162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61091</w:t>
            </w:r>
          </w:p>
        </w:tc>
      </w:tr>
      <w:tr w:rsidR="00DC637F" w:rsidRPr="00DC637F" w:rsidTr="00DC637F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показателей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-12,5%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-10,5%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-0,02%</w:t>
            </w:r>
          </w:p>
        </w:tc>
      </w:tr>
    </w:tbl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Комментарий:</w:t>
      </w:r>
      <w:r w:rsidRPr="00DC637F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 сравнению с 2014 годом отмечается уменьшение числа посещений всего, в том числе по поводу заболеваний в связи с уменьшением диспансерной группы, за счет оздоровительных реабилитационных мероприятий, повышением квалификации врачей, не </w:t>
      </w:r>
      <w:proofErr w:type="spell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перенаправляющих</w:t>
      </w:r>
      <w:proofErr w:type="spell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больных узким специалистам. Кроме того, отмечается сокращение повторных обращений в связи со своевременной квалифицированной лечебно-диагностической помощью.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1.3 Хирургическая работа поликлиники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5"/>
        <w:gridCol w:w="4225"/>
        <w:gridCol w:w="4225"/>
      </w:tblGrid>
      <w:tr w:rsidR="00DC637F" w:rsidRPr="00DC637F" w:rsidTr="00DC637F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Название операций</w:t>
            </w:r>
          </w:p>
        </w:tc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Число проведенных операций в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амбулаторно-поликлиническом</w:t>
            </w:r>
            <w:proofErr w:type="gramEnd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учреждение, всего</w:t>
            </w:r>
          </w:p>
        </w:tc>
      </w:tr>
      <w:tr w:rsidR="00DC637F" w:rsidRPr="00DC637F" w:rsidTr="00DC637F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год, предшествующий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DC637F" w:rsidRPr="00DC637F" w:rsidTr="00DC637F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операций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</w:tbl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Комментарий:</w:t>
      </w:r>
      <w:r w:rsidRPr="00DC637F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Оперировано больных – 53 человек; Дети 0-17 лет включительно – 53.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2.Профилактическая работа. Диспансерное наблюдение.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2.1 Профилактические осмотры, проведенные в учреждении детям и подросткам </w:t>
      </w:r>
      <w:proofErr w:type="spellStart"/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Головинского</w:t>
      </w:r>
      <w:proofErr w:type="spellEnd"/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района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7"/>
        <w:gridCol w:w="2452"/>
        <w:gridCol w:w="2452"/>
        <w:gridCol w:w="2452"/>
        <w:gridCol w:w="2452"/>
      </w:tblGrid>
      <w:tr w:rsidR="00DC637F" w:rsidRPr="00DC637F" w:rsidTr="00DC637F"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Контингенты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Подлежало осмотрам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Осмотрено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Подлежало осмотрам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Осмотрено</w:t>
            </w:r>
          </w:p>
        </w:tc>
      </w:tr>
      <w:tr w:rsidR="00DC637F" w:rsidRPr="00DC637F" w:rsidTr="00DC63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C637F" w:rsidRPr="00DC637F" w:rsidRDefault="00DC637F" w:rsidP="00DC6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год, предшествующий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год, предшествующий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DC637F" w:rsidRPr="00DC637F" w:rsidTr="00DC637F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детей в возрасте 15-17 лет включительно (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обучающихся в школах)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</w:tr>
      <w:tr w:rsidR="00DC637F" w:rsidRPr="00DC637F" w:rsidTr="00DC637F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Контингенты населения, осмотренные в порядке периодических осмотров, - всего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4331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4331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4630</w:t>
            </w:r>
          </w:p>
        </w:tc>
      </w:tr>
      <w:tr w:rsidR="00DC637F" w:rsidRPr="00DC637F" w:rsidTr="00DC637F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Население, осмотренное в порядке проведения дополнительной диспансеризации работающих граждан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Комментарий:</w:t>
      </w:r>
      <w:r w:rsidRPr="00DC637F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Отмечается рост осмотренных детей и подростков в связи с увеличением населением </w:t>
      </w:r>
      <w:proofErr w:type="spell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Головинского</w:t>
      </w:r>
      <w:proofErr w:type="spell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района в 2015 году. Все подлежащие профилактическим осмотрам дети и подростки прошли диспансеризацию.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2.3 Численность инвалидов, состоящих на учете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лечебно-профилактического учреждения</w:t>
      </w:r>
    </w:p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1"/>
        <w:gridCol w:w="1967"/>
        <w:gridCol w:w="1323"/>
        <w:gridCol w:w="2298"/>
        <w:gridCol w:w="1654"/>
        <w:gridCol w:w="1811"/>
        <w:gridCol w:w="1811"/>
      </w:tblGrid>
      <w:tr w:rsidR="00DC637F" w:rsidRPr="00DC637F" w:rsidTr="00DC637F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Группа инвалидности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Взрослые 18 лет и старше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Инвалиды вследствие аварии на Чернобыльской АЭС</w:t>
            </w:r>
          </w:p>
        </w:tc>
      </w:tr>
      <w:tr w:rsidR="00DC637F" w:rsidRPr="00DC637F" w:rsidTr="00DC637F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год, предшествующий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год, предшествующий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год, предшествующий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отчетный период</w:t>
            </w:r>
          </w:p>
        </w:tc>
      </w:tr>
      <w:tr w:rsidR="00DC637F" w:rsidRPr="00DC637F" w:rsidTr="00DC637F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 группа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637F" w:rsidRPr="00DC637F" w:rsidTr="00DC637F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 группа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637F" w:rsidRPr="00DC637F" w:rsidTr="00DC637F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III группа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637F" w:rsidRPr="00DC637F" w:rsidTr="00DC637F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C637F" w:rsidRPr="00DC637F" w:rsidRDefault="00DC637F" w:rsidP="00DC637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Комментарий:</w:t>
      </w:r>
      <w:r w:rsidRPr="00DC637F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Увеличение числа детей-инвалидов в 2015 году связано с приростом численности прикрепленного населения в районе за счет миграции населения. Распределение инвалидов по возрастам: 0-4 лет – 30 человека (17%); 5-9 лет – 63 человека (35,8%); 10-14 лет – 70 человек (39.7%), 15-17 лет – 13 человек (7.4%)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3. Показатели здоровья населения проживающего в районе обслуживания поликлиники*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3.1 Дети (до 14 лет включительно)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Численность детей до 14 лет включительно: 10261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3"/>
        <w:gridCol w:w="3780"/>
        <w:gridCol w:w="1952"/>
        <w:gridCol w:w="3225"/>
        <w:gridCol w:w="2095"/>
      </w:tblGrid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Данные за год, предшествующий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изменений показателя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Зарегистрировано заболеваний - всего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32961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+20,4%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Инфекционные и паразитарные болезни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+2,1%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Новообразования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-6,8%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+139,1%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 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нервной системы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+6,8%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системы кровообращения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+80%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Цереброваскулярные болезни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Острые респираторные инфекции нижних дыхательных путей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22136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+17,4%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органов пищеварения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+91,1%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-45,7%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мочеполовой системы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-25,8%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+46,02%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+40,6%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+21%</w:t>
            </w:r>
          </w:p>
        </w:tc>
      </w:tr>
    </w:tbl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3.2 Дети (15-17 лет включительно)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Численность детей 15-17 лет: 1533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4"/>
        <w:gridCol w:w="3149"/>
        <w:gridCol w:w="2392"/>
        <w:gridCol w:w="3129"/>
        <w:gridCol w:w="2431"/>
      </w:tblGrid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Данные за год, предшествующий </w:t>
            </w:r>
            <w:proofErr w:type="gramStart"/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отчетному</w:t>
            </w:r>
            <w:proofErr w:type="gramEnd"/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Динамика изменений показателя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Зарегистрировано заболеваний -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+55,05%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Инфекционные и паразитарные болезни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+30%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Новообразования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+20%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+101,7%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нервной системы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+44,6%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системы кровообращения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+59,2%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Цереброваскулярные болезни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Острые респираторные инфекции нижних дыхательных путей</w:t>
            </w:r>
          </w:p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+73,7%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органов пищеварения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+39,5%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+10,2%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мочеполовой системы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+5,1%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+69,0%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Врожденные аномалии (пороки развития)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-2,7%</w:t>
            </w:r>
          </w:p>
        </w:tc>
      </w:tr>
      <w:tr w:rsidR="00DC637F" w:rsidRPr="00DC637F" w:rsidTr="00DC637F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C637F" w:rsidRPr="00DC637F" w:rsidRDefault="00DC637F" w:rsidP="00DC63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63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+36,3%</w:t>
            </w:r>
          </w:p>
        </w:tc>
      </w:tr>
    </w:tbl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Комментарий:</w:t>
      </w:r>
      <w:r w:rsidRPr="00DC637F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Отмечается увеличение заболеваемости у детей и подростков в основном за счет роста заболеваемости эндокринной системы, заболеваний глаза, заболеваний органов пищеварения. В структуре заболеваемости детей от 0 до 14 лет первое место занимают острые респираторные инфекции, второе место – болезни глаза, третье место – болезни органов пищеварения; у подростков 15-17 лет – первое место – острые респираторные инфекции, второе место – болезни </w:t>
      </w:r>
      <w:proofErr w:type="spell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костно</w:t>
      </w:r>
      <w:proofErr w:type="spell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–мышечной системы, третье место – заболевания глаза.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Главный врач</w:t>
      </w: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                                                                         С.И. Лазарева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Исполнитель: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Зам. Главного врача по КЭР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Вилькен</w:t>
      </w:r>
      <w:proofErr w:type="spellEnd"/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Т.Ю.</w:t>
      </w:r>
    </w:p>
    <w:p w:rsidR="00DC637F" w:rsidRPr="00DC637F" w:rsidRDefault="00DC637F" w:rsidP="00DC63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637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Тел.: (499) 457-31-91</w:t>
      </w:r>
    </w:p>
    <w:p w:rsidR="00C45826" w:rsidRDefault="00C45826"/>
    <w:sectPr w:rsidR="00C45826" w:rsidSect="00DC63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637F"/>
    <w:rsid w:val="00C45826"/>
    <w:rsid w:val="00DC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26"/>
  </w:style>
  <w:style w:type="paragraph" w:styleId="1">
    <w:name w:val="heading 1"/>
    <w:basedOn w:val="a"/>
    <w:link w:val="10"/>
    <w:uiPriority w:val="9"/>
    <w:qFormat/>
    <w:rsid w:val="00DC6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37F"/>
    <w:rPr>
      <w:b/>
      <w:bCs/>
    </w:rPr>
  </w:style>
  <w:style w:type="character" w:styleId="a5">
    <w:name w:val="Hyperlink"/>
    <w:basedOn w:val="a0"/>
    <w:uiPriority w:val="99"/>
    <w:semiHidden/>
    <w:unhideWhenUsed/>
    <w:rsid w:val="00DC63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37F"/>
  </w:style>
  <w:style w:type="paragraph" w:customStyle="1" w:styleId="a00">
    <w:name w:val="a0"/>
    <w:basedOn w:val="a"/>
    <w:rsid w:val="00DC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p133@zdrav.mos.ru" TargetMode="External"/><Relationship Id="rId4" Type="http://schemas.openxmlformats.org/officeDocument/2006/relationships/hyperlink" Target="http://www.dgp1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1567</Words>
  <Characters>8936</Characters>
  <Application>Microsoft Office Word</Application>
  <DocSecurity>0</DocSecurity>
  <Lines>74</Lines>
  <Paragraphs>20</Paragraphs>
  <ScaleCrop>false</ScaleCrop>
  <Company>org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2018-10-02T13:20:00Z</dcterms:created>
  <dcterms:modified xsi:type="dcterms:W3CDTF">2018-10-02T13:21:00Z</dcterms:modified>
</cp:coreProperties>
</file>